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3230E4" w14:textId="77777777" w:rsidR="0063239D" w:rsidRDefault="0063239D" w:rsidP="0063239D">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color w:val="494C4E"/>
          <w:spacing w:val="3"/>
          <w:bdr w:val="none" w:sz="0" w:space="0" w:color="auto" w:frame="1"/>
          <w:shd w:val="clear" w:color="auto" w:fill="FFFFFF"/>
        </w:rPr>
        <w:t>In choosing the role of the consultant for this global marketing agency, the consultant holds a critical role to study and determine the values and ethical framework of the organization by measuring key defined behaviors.  The communication of these core defined behaviors of corporate culture transfers to all company staff through the Corporate Vision, Mission Statement, and Code of Ethics, and as such are critical to the ethical behaviors of all company employees.  For the corporate culture to survive, we, as humans, require "stability, consistency, and meaning" through all levels of the organization (Schein, 2010, p. 18).  Therefore, the behavior of the employees should reflect the behavior of the top management if the senior leaders conduct themselves in a manner that is consistent with the Vision, Mission Statement and Code of Ethics of the company.</w:t>
      </w:r>
    </w:p>
    <w:p w14:paraId="3D8A6B3A" w14:textId="77777777" w:rsidR="0063239D" w:rsidRDefault="0063239D" w:rsidP="0063239D">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shd w:val="clear" w:color="auto" w:fill="FFFFFF"/>
        </w:rPr>
        <w:t>In order to determine whether the values and ethics of the organization are consistent with the values and ethics of the top-level leaders, the consultant will conduct research using “</w:t>
      </w:r>
      <w:r>
        <w:rPr>
          <w:i/>
          <w:iCs/>
          <w:color w:val="494C4E"/>
          <w:spacing w:val="3"/>
          <w:bdr w:val="none" w:sz="0" w:space="0" w:color="auto" w:frame="1"/>
        </w:rPr>
        <w:t>Figure 1</w:t>
      </w:r>
      <w:r>
        <w:rPr>
          <w:color w:val="494C4E"/>
          <w:spacing w:val="3"/>
          <w:bdr w:val="none" w:sz="0" w:space="0" w:color="auto" w:frame="1"/>
          <w:shd w:val="clear" w:color="auto" w:fill="FFFFFF"/>
        </w:rPr>
        <w:t>. Ferrell, Gresham, &amp; Fraedrich’s (1989) Decision-Making Model,” combined with Armstrong’s (1990) ethical survey model.  Ferrell et al. 's (1989) Decision-Making model will provide the framework for the study to determine the cultural environment concerning ethics, while Armstrong’s (1990) model will aide in the development of an enhanced survey and identify the ethical issues within the company (as cited in Armstrong, 1996).  The research will use both qualitative and quantitative methods.  The qualitative techniques consist of open-ended questions using Armstrong’s (1990) model to determine the ethical issues (as cited in Armstrong, 1996), and focus groups with cross-functional and multi-level management/employee representation to clarify answers to the open-ended questions.  The quantitative methodology will use a seven-point Likert scale to link the importance of the ethical issues discovered in the open-ended questionnaire to the organization (Likert, 1932).  Additionally, in conducting research, the consultant must be aware of, and therefore not add a cultural, ethical, or moral bias in consulting with the organization. </w:t>
      </w:r>
    </w:p>
    <w:p w14:paraId="02406618" w14:textId="5E6C1531" w:rsidR="0063239D" w:rsidRDefault="0063239D" w:rsidP="0063239D">
      <w:pPr>
        <w:pStyle w:val="NormalWeb"/>
        <w:shd w:val="clear" w:color="auto" w:fill="FFFFFF"/>
        <w:spacing w:before="0" w:beforeAutospacing="0" w:after="160" w:afterAutospacing="0" w:line="440" w:lineRule="atLeast"/>
        <w:rPr>
          <w:rFonts w:ascii="Calibri" w:hAnsi="Calibri" w:cs="Calibri"/>
          <w:color w:val="494C4E"/>
          <w:spacing w:val="3"/>
          <w:sz w:val="22"/>
          <w:szCs w:val="22"/>
        </w:rPr>
      </w:pPr>
      <w:r>
        <w:rPr>
          <w:rFonts w:ascii="Calibri" w:hAnsi="Calibri" w:cs="Calibri"/>
          <w:noProof/>
          <w:color w:val="494C4E"/>
          <w:spacing w:val="3"/>
          <w:sz w:val="22"/>
          <w:szCs w:val="22"/>
        </w:rPr>
        <w:lastRenderedPageBreak/>
        <mc:AlternateContent>
          <mc:Choice Requires="wps">
            <w:drawing>
              <wp:inline distT="0" distB="0" distL="0" distR="0" wp14:anchorId="6CC79F2B" wp14:editId="5B015D7B">
                <wp:extent cx="5943600" cy="18669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43600" cy="186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B276E5" id="Rectangle 1" o:spid="_x0000_s1026" style="width:468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" filled="f" stroked="f">
                <o:lock v:ext="edit" aspectratio="t"/>
                <w10:anchorlock/>
              </v:rect>
            </w:pict>
          </mc:Fallback>
        </mc:AlternateContent>
      </w:r>
    </w:p>
    <w:p w14:paraId="7B9947E9" w14:textId="77777777" w:rsidR="0063239D" w:rsidRDefault="0063239D" w:rsidP="0063239D">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i/>
          <w:iCs/>
          <w:color w:val="494C4E"/>
          <w:spacing w:val="3"/>
          <w:bdr w:val="none" w:sz="0" w:space="0" w:color="auto" w:frame="1"/>
          <w:shd w:val="clear" w:color="auto" w:fill="FFFFFF"/>
        </w:rPr>
        <w:t>Figure 1. </w:t>
      </w:r>
      <w:r>
        <w:rPr>
          <w:color w:val="494C4E"/>
          <w:spacing w:val="3"/>
          <w:bdr w:val="none" w:sz="0" w:space="0" w:color="auto" w:frame="1"/>
          <w:shd w:val="clear" w:color="auto" w:fill="FFFFFF"/>
        </w:rPr>
        <w:t>Ferrell, Gresham &amp; Fraedrich (1989) Decision-Making Model</w:t>
      </w:r>
    </w:p>
    <w:p w14:paraId="4268A165" w14:textId="77777777" w:rsidR="0063239D" w:rsidRDefault="0063239D" w:rsidP="0063239D">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shd w:val="clear" w:color="auto" w:fill="FFFFFF"/>
        </w:rPr>
        <w:t> The consultant will summarize the results of the survey, open-ended questions, and Likert scale to the organization (Likert, 1932).  The recap will include written documentation to both the top-management and organization.  Additionally, if deemed necessary by both the corporation top-management and the consultant, a facilitated discussion related to the results will occur in order to determine possible next steps.</w:t>
      </w:r>
    </w:p>
    <w:p w14:paraId="430471E3" w14:textId="77777777" w:rsidR="0063239D" w:rsidRDefault="0063239D" w:rsidP="0063239D">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color w:val="494C4E"/>
          <w:spacing w:val="3"/>
          <w:bdr w:val="none" w:sz="0" w:space="0" w:color="auto" w:frame="1"/>
          <w:shd w:val="clear" w:color="auto" w:fill="FFFFFF"/>
        </w:rPr>
        <w:t>    </w:t>
      </w:r>
    </w:p>
    <w:p w14:paraId="1C91F546" w14:textId="77777777" w:rsidR="0063239D" w:rsidRDefault="0063239D" w:rsidP="0063239D">
      <w:pPr>
        <w:pStyle w:val="NormalWeb"/>
        <w:shd w:val="clear" w:color="auto" w:fill="FFFFFF"/>
        <w:spacing w:before="0" w:beforeAutospacing="0" w:after="0" w:afterAutospacing="0" w:line="440" w:lineRule="atLeast"/>
        <w:jc w:val="center"/>
        <w:rPr>
          <w:rFonts w:ascii="Calibri" w:hAnsi="Calibri" w:cs="Calibri"/>
          <w:color w:val="494C4E"/>
          <w:spacing w:val="3"/>
          <w:sz w:val="22"/>
          <w:szCs w:val="22"/>
        </w:rPr>
      </w:pPr>
      <w:r>
        <w:rPr>
          <w:color w:val="494C4E"/>
          <w:spacing w:val="3"/>
          <w:bdr w:val="none" w:sz="0" w:space="0" w:color="auto" w:frame="1"/>
          <w:shd w:val="clear" w:color="auto" w:fill="FFFFFF"/>
        </w:rPr>
        <w:t>References</w:t>
      </w:r>
    </w:p>
    <w:p w14:paraId="267B2FCF" w14:textId="77777777" w:rsidR="0063239D" w:rsidRDefault="0063239D" w:rsidP="0063239D">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Armstrong, R. W. (1996). The relationship between culture and perception of ethical problems in international marketing. </w:t>
      </w:r>
      <w:r>
        <w:rPr>
          <w:i/>
          <w:iCs/>
          <w:color w:val="494C4E"/>
          <w:spacing w:val="3"/>
          <w:bdr w:val="none" w:sz="0" w:space="0" w:color="auto" w:frame="1"/>
        </w:rPr>
        <w:t>Journal of Business Ethics, 15</w:t>
      </w:r>
      <w:r>
        <w:rPr>
          <w:color w:val="494C4E"/>
          <w:spacing w:val="3"/>
          <w:bdr w:val="none" w:sz="0" w:space="0" w:color="auto" w:frame="1"/>
        </w:rPr>
        <w:t>(11), 1199–1208. </w:t>
      </w:r>
      <w:hyperlink r:id="rId4" w:history="1">
        <w:r>
          <w:rPr>
            <w:rStyle w:val="Hyperlink"/>
            <w:color w:val="000000"/>
            <w:spacing w:val="3"/>
            <w:bdr w:val="none" w:sz="0" w:space="0" w:color="auto" w:frame="1"/>
          </w:rPr>
          <w:t>https://doi-org.saintleo.idm.oclc.org/10.1007/BF00412818</w:t>
        </w:r>
      </w:hyperlink>
    </w:p>
    <w:p w14:paraId="5EE5E693" w14:textId="77777777" w:rsidR="0063239D" w:rsidRDefault="0063239D" w:rsidP="0063239D">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Ferrell, O. C., Gresham, L. G., &amp; Fraedrich, J. (1989). A synthesis of ethical decision models for marketing. </w:t>
      </w:r>
      <w:r>
        <w:rPr>
          <w:i/>
          <w:iCs/>
          <w:color w:val="494C4E"/>
          <w:spacing w:val="3"/>
          <w:bdr w:val="none" w:sz="0" w:space="0" w:color="auto" w:frame="1"/>
        </w:rPr>
        <w:t xml:space="preserve">Journal of </w:t>
      </w:r>
      <w:proofErr w:type="spellStart"/>
      <w:r>
        <w:rPr>
          <w:i/>
          <w:iCs/>
          <w:color w:val="494C4E"/>
          <w:spacing w:val="3"/>
          <w:bdr w:val="none" w:sz="0" w:space="0" w:color="auto" w:frame="1"/>
        </w:rPr>
        <w:t>Macromarketing</w:t>
      </w:r>
      <w:proofErr w:type="spellEnd"/>
      <w:r>
        <w:rPr>
          <w:i/>
          <w:iCs/>
          <w:color w:val="494C4E"/>
          <w:spacing w:val="3"/>
          <w:bdr w:val="none" w:sz="0" w:space="0" w:color="auto" w:frame="1"/>
        </w:rPr>
        <w:t xml:space="preserve"> 9</w:t>
      </w:r>
      <w:r>
        <w:rPr>
          <w:color w:val="494C4E"/>
          <w:spacing w:val="3"/>
          <w:bdr w:val="none" w:sz="0" w:space="0" w:color="auto" w:frame="1"/>
        </w:rPr>
        <w:t>(Fall), 55-64</w:t>
      </w:r>
    </w:p>
    <w:p w14:paraId="34CB6F18" w14:textId="77777777" w:rsidR="0063239D" w:rsidRDefault="0063239D" w:rsidP="0063239D">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Likert, R. (1932). A technique for the measurement of attitudes. </w:t>
      </w:r>
      <w:r>
        <w:rPr>
          <w:i/>
          <w:iCs/>
          <w:color w:val="494C4E"/>
          <w:spacing w:val="3"/>
          <w:bdr w:val="none" w:sz="0" w:space="0" w:color="auto" w:frame="1"/>
        </w:rPr>
        <w:t>Archives of Psychology, 140</w:t>
      </w:r>
      <w:r>
        <w:rPr>
          <w:color w:val="494C4E"/>
          <w:spacing w:val="3"/>
          <w:bdr w:val="none" w:sz="0" w:space="0" w:color="auto" w:frame="1"/>
        </w:rPr>
        <w:t>, 1-55</w:t>
      </w:r>
    </w:p>
    <w:p w14:paraId="7B71AF73" w14:textId="77777777" w:rsidR="0063239D" w:rsidRDefault="0063239D" w:rsidP="0063239D">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Schein, E. H. (2010). </w:t>
      </w:r>
      <w:r>
        <w:rPr>
          <w:i/>
          <w:iCs/>
          <w:color w:val="494C4E"/>
          <w:spacing w:val="3"/>
          <w:bdr w:val="none" w:sz="0" w:space="0" w:color="auto" w:frame="1"/>
        </w:rPr>
        <w:t>Organizational culture and leadership.</w:t>
      </w:r>
      <w:r>
        <w:rPr>
          <w:color w:val="494C4E"/>
          <w:spacing w:val="3"/>
          <w:bdr w:val="none" w:sz="0" w:space="0" w:color="auto" w:frame="1"/>
        </w:rPr>
        <w:t> Hoboken, NJ: Wiley Publishers.</w:t>
      </w:r>
    </w:p>
    <w:p w14:paraId="4FFBCE02" w14:textId="0B0349EB"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IzNjUxMjGyMDU2MzRT0lEKTi0uzszPAykwrAUAJasGUSwAAAA="/>
  </w:docVars>
  <w:rsids>
    <w:rsidRoot w:val="0063239D"/>
    <w:rsid w:val="0063239D"/>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D8850"/>
  <w15:chartTrackingRefBased/>
  <w15:docId w15:val="{CB90ACDD-6E57-44BB-ADAB-EF25A5C93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239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323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667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saintleo.idm.oclc.org/10.1007/BF004128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2019-09-11T00:30:00Z</dcterms:created>
  <dcterms:modified xsi:type="dcterms:W3CDTF">2019-09-11T00:31:00Z</dcterms:modified>
</cp:coreProperties>
</file>